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3910b00954ab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38526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KULTURU DR. IVAN KOSTRENČIĆ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167.299,97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184.070,37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176.537,60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173.260,45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10.809,92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6.547,94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6.547,94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4.261,98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Centar za kulturu Dr. Ivan Kostrenčić proračunski je korisnik Grada Crikvenica i posluje u okviru pune riznice proračuna Grada Crikvenice. Centar za kulturu Dr. Ivan Kostrenčić osnovan je 1996. kao Ustanova u kulturi Dr. Ivan Kostrenčić, a od 2008. ima sadašnji naziv.  Aktivnostima pokriva široko područje kulturnih djelatnosti, od glazbeno-scenske, izložbeno-galerijske do izdavačke djelatnosti. Cilj djelovanja  je stvaranje i prezentiranje visokokvalitetne kulturne produkcije izložbeno-galerijskog, nakladničkog i glazbeno-scenskog karaktera, koja će zadovoljiti kulturne potrebe građana i posjetitelja Crikvenice te privući publiku različitih dobnih i interesnih skupina. Osim osnovne djelatnosti ne bavi se dodatnim ili gospodarskim djelatnostima. Od 23.05.2025. zastupa ga ravnateljica v.d. ravnateljica Silvija Huljina, profesorica povijesti i diplomirana povjesničarka umjetnosti, na određeno vrijeme, do imenovanja ravnatelja na temelju provedenog javnog natječaja, a najduže godinu dana.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167.299,97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184.070,37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r>
        <w:t xml:space="preserve">U izvještajnom razdoblju ostvareni prihodi poslovanja iznose 184.070,37 € i veći su za 10% u odnosu na 31.12.2024. godine. Najznačajnije povećanje prihoda ostvareno je od namjenskih prihoda (65 - prihodi od upravnih i administrativnih pristojbi, pristojbi po posebnim propisima i naknada) i od prihoda iz nadležnog proračuna (67).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90,5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 (konto 636) odnosi se na uplate od Ministarstva kulture i medija RH u iznosu od 2.500,00 € za financiranje Programa vizualnih umjetnosti „Izložbe u Gradskoj galeriji Crikvenica u 2025. godini“  i uplatu od Primorsko goranske županije u iznosu od 1.300,00 € za sufinanciranje programa javnih potreba u kulturi.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11.451,00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</w:tbl>
    <w:p>
      <w:pPr>
        <w:spacing w:before="0" w:after="0"/>
      </w:pPr>
    </w:p>
    <w:p>
      <w:r>
        <w:t xml:space="preserve">Ostali nespomenuti prihodi (konto 6526) na koji su evidentirani prihodi od prodaje ulaznica za predstave veći su za 10,8 % u odnosu na izvještajno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151.648,97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167.587,37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Prihod iz nadležnog proračuna za financiranje rashoda poslovanja ostvareni su 10,5 % više od prošlogodišnjih, a najvećim dijelom se odnose na plaćene rashode za zaposlene koji su povećani zbog povećanja osnovice za obračun plaće u odnosu na isti period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176.537,60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173.260,45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</w:tbl>
    <w:p>
      <w:pPr>
        <w:spacing w:before="0" w:after="0"/>
      </w:pPr>
    </w:p>
    <w:p>
      <w:r>
        <w:t xml:space="preserve">Ostvareni rashodi poslovanja u izvještajnom razdoblju iznose 173.260,45 € i manji su za 1,9%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83.889,52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97.101,25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</w:tbl>
    <w:p>
      <w:pPr>
        <w:spacing w:before="0" w:after="0"/>
      </w:pPr>
    </w:p>
    <w:p>
      <w:r>
        <w:t xml:space="preserve">Odstupanje u odnosu na prošlu godinu nastalo je zbog povećanja osnovice za obračun plaće u odnosu na isti period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92.648,08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76.159,20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82,2</w:t>
            </w:r>
          </w:p>
        </w:tc>
      </w:tr>
    </w:tbl>
    <w:p>
      <w:pPr>
        <w:spacing w:before="0" w:after="0"/>
      </w:pPr>
    </w:p>
    <w:p>
      <w:r>
        <w:t xml:space="preserve">U 2025. godini nabavljeno je manje uredskog materijala te manje usluga tekućeg i investicijskog održavanja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navedenom razdoblju nema ostvarenih prihoda od prodaje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6.547,94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Rashodi za nabavu nefinancijske imovine ostvareni su u iznosu od 6.547,97 €. Navedeni rashod odnosi se na uredsku opremu i namještaj te na uređaje i opremu za ostale namjene.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167.299,97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184.070,37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r>
        <w:t xml:space="preserve">U izvještajnom razdoblju od 01.01.2025. do 31.12.2025. godine ostvareno je 184.070,37 € prihoda, odnosno 10% više u odnosu na isto izvještajno razdoblje prošle godine. Na ostvarenje prihoda najvećim dijelom utjecali su prihodi iz nadležnog proračuna (konto 67), a oni su u odnosu na isto izvještajno razdoblje prošle godine povećani za 10,5%. Ostatak prihoda čine Ostali nespomenuti prihodi (konto 6526) na koji su evidentirani prihodi od prodaje ulaznica za predstave.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- preneseni (šifre '9221x,9222x MP' - '9221x,9222x VP' + 92223 - 92213)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13.405,49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321,9</w:t>
            </w:r>
          </w:p>
        </w:tc>
      </w:tr>
    </w:tbl>
    <w:p>
      <w:pPr>
        <w:spacing w:before="0" w:after="0"/>
      </w:pPr>
    </w:p>
    <w:p>
      <w:r>
        <w:t xml:space="preserve">Preneseni manjak na 31.12.2024. iznosio je 13.405,49 €. Navedeni iznos odnosi se na metodološki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13.405,49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9.143,51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68,2</w:t>
            </w:r>
          </w:p>
        </w:tc>
      </w:tr>
    </w:tbl>
    <w:p>
      <w:pPr>
        <w:spacing w:before="0" w:after="0"/>
      </w:pPr>
    </w:p>
    <w:p>
      <w:r>
        <w:t xml:space="preserve">U izvještajnom razdoblju  ostvaren je višak prihoda poslovanja u iznosu od 10.809,92 EUR, manjak prihoda od nefinancijske imovine u iznosu od 6.547,94  EUR, odnosno ukupno višak od 4.261,98 EUR.</w:t>
      </w:r>
    </w:p>
    <w:p>
      <w:r>
        <w:t xml:space="preserve">Preneseni manjak prihoda poslovanja iz prethodne godine  iznosi 13.405,49 EUR.</w:t>
      </w:r>
    </w:p>
    <w:p>
      <w:r>
        <w:t xml:space="preserve">Rezultat na kraju izvještajnog razdoblja je manjak od 9.143,51 EUR koji se sastoji od metodološkog manjka  iz prihoda Grada koji iznosi 9.143,51 €. S obzirom da se u prihodima iz nadležnog proračuna evidentiraju doznačena sredstva do kraja izvještajnog razdoblja, a da se rashodi za prosinac plaćaju s računa riznice u siječnju, nastaje metodološki manjak koji se pokrije uplatom rashoda proračuna s računa riznice tijekom siječnja.</w:t>
      </w:r>
    </w:p>
    <w:p>
      <w:r>
        <w:t xml:space="preserve">Iz ostalih izvora nema realiziranog viška niti manjka.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22.456,11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10.662,49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47,5</w:t>
            </w:r>
          </w:p>
        </w:tc>
      </w:tr>
    </w:tbl>
    <w:p>
      <w:pPr>
        <w:spacing w:before="0" w:after="0"/>
      </w:pPr>
    </w:p>
    <w:p>
      <w:r>
        <w:t xml:space="preserve">Nefinancijska imovina iznosi 10.662,49 € i u odnosu na prošlu godinu manja je za 52,50 %. U 2025. godini nabavljeno je 100% više opreme u odnosu na 2024. godinu pa je i obračun ispravka vrijednosti veći u 2025. godini u odnosu na 2024. godinu.</w:t>
      </w:r>
    </w:p>
    <w:p>
      <w:r>
        <w:t xml:space="preserve">Proveden je godišnji popis imovine sa 31.12.2025. i izvršen je ispravak vrijednosti prema važećim amortizacijskim stopama.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Financijska imovina iznosi 883,00 €, a odnosi se na neplaćene račune koji terete izvore financiranja vezane za ovaj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-13.405,49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-9.143,51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68,2</w:t>
            </w:r>
          </w:p>
        </w:tc>
      </w:tr>
    </w:tbl>
    <w:p>
      <w:pPr>
        <w:spacing w:before="0" w:after="0"/>
      </w:pPr>
    </w:p>
    <w:p>
      <w:r>
        <w:t xml:space="preserve">Rezultat 2025. godine bio je višak od 4.261,98 €. Preneseni manjak iznosio je 13.405,49 €. Rezultat na kraju izvještajnog razdoblja je manjak od 9.143,51 €.</w:t>
      </w:r>
    </w:p>
    <w:p>
      <w:r>
        <w:t xml:space="preserve">Provedena je obvezna korekcija rezultata u skladu sa člankom 82. Pravilnika o proračunskom računovodstvu i računskom planu koji propisuje obvezu korekcije salda na računu 922.</w:t>
      </w:r>
    </w:p>
    <w:p>
      <w:r>
        <w:t xml:space="preserve">Izvršene su obvezne korekcije rezultata u ukupnom iznosu od 6.547,94 €, a odnose se na prihode ostvarene na kontu 67121 Prihodi iz nadležnog proračuna za financiranje rashoda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652.484,72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izvanbilančne zapise konta 991 i 996 uknjižena je imovina dobivena na korištenje, njezina nabavna vrijednost, ispravak vrijednosti i sadašnja vrijednost za sve objekte u kojem posluje Centar za kulturu, a dana je na korištenje od strane Grada Crikvenice.</w:t>
      </w:r>
    </w:p>
    <w:p>
      <w:r>
        <w:t xml:space="preserve">Prema Pravilniku o financijskom izvještavanju u proračunskom računovodstvu obvezne bilješke uz bilancu jesu:</w:t>
      </w:r>
    </w:p>
    <w:p>
      <w:r>
        <w:t xml:space="preserve">1. Popis ugovornih odnosa i slično koji uz ispunjenje određenih uvjeta, mogu postati obveza ili imovina (dana kreditna pisma, hipoteke i slično) i</w:t>
      </w:r>
    </w:p>
    <w:p>
      <w:r>
        <w:t xml:space="preserve">2. Popis sudskih sporova u tijeku.</w:t>
      </w:r>
    </w:p>
    <w:p>
      <w:r>
        <w:t xml:space="preserve"> </w:t>
      </w:r>
    </w:p>
    <w:p>
      <w:r>
        <w:t xml:space="preserve">Proračunski korisnik nema ugovornih odnosa i slično koji uz ispunjenje određenih uvjeta, mogu postati obveza ili imovina (dana kreditna pisma, hipoteke i slično), kao ni sudskih sporova u tijeku.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176.541,40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179.808,39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</w:tbl>
    <w:p>
      <w:pPr>
        <w:spacing w:before="0" w:after="0"/>
      </w:pPr>
    </w:p>
    <w:p>
      <w:r>
        <w:t xml:space="preserve">Prema funkcijskoj klasifikaciji svi rashodi proračunskog korisnika Centar za kulturu dr. Ivan Kostrenčić klasificirani su u 08 Rekreacija, kultura i religija; 082 Službe kulture u iznosu od 179.808,39 €.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18.341,56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P003 odnosi se na obračun ispravka vrijednosti imovine (91511) u iznosu od 18.341,56 €.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10.026,51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obveza u iznosu od 10.026,51 odnosi se na nedospjele obveze prema dobavljačima i obračunatu plaću i ostala materijalna prava za 12. mjesec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dan 31.12.2025.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06481d9bc54699" /></Relationships>
</file>